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0B" w:rsidRDefault="00AD770B" w:rsidP="00AD770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4E51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AD770B" w:rsidRDefault="00AD770B" w:rsidP="00AD770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Abidin Anwar, Zainal.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IAILM Pontren Suryalaya Tasikmalaya. </w:t>
      </w:r>
      <w:r>
        <w:rPr>
          <w:rFonts w:asciiTheme="majorBidi" w:hAnsiTheme="majorBidi" w:cstheme="majorBidi"/>
          <w:sz w:val="24"/>
          <w:szCs w:val="24"/>
        </w:rPr>
        <w:t>Tasikmalaya</w:t>
      </w:r>
      <w:r w:rsidRPr="00734CA3">
        <w:rPr>
          <w:rFonts w:asciiTheme="majorBidi" w:hAnsiTheme="majorBidi" w:cstheme="majorBidi"/>
          <w:sz w:val="24"/>
          <w:szCs w:val="24"/>
        </w:rPr>
        <w:t>: PT M</w:t>
      </w:r>
      <w:r>
        <w:rPr>
          <w:rFonts w:asciiTheme="majorBidi" w:hAnsiTheme="majorBidi" w:cstheme="majorBidi"/>
          <w:sz w:val="24"/>
          <w:szCs w:val="24"/>
        </w:rPr>
        <w:t>ud</w:t>
      </w:r>
      <w:r w:rsidRPr="00734CA3">
        <w:rPr>
          <w:rFonts w:asciiTheme="majorBidi" w:hAnsiTheme="majorBidi" w:cstheme="majorBidi"/>
          <w:sz w:val="24"/>
          <w:szCs w:val="24"/>
        </w:rPr>
        <w:t>aw</w:t>
      </w:r>
      <w:r>
        <w:rPr>
          <w:rFonts w:asciiTheme="majorBidi" w:hAnsiTheme="majorBidi" w:cstheme="majorBidi"/>
          <w:sz w:val="24"/>
          <w:szCs w:val="24"/>
        </w:rPr>
        <w:t>w</w:t>
      </w:r>
      <w:r w:rsidRPr="00734CA3">
        <w:rPr>
          <w:rFonts w:asciiTheme="majorBidi" w:hAnsiTheme="majorBidi" w:cstheme="majorBidi"/>
          <w:sz w:val="24"/>
          <w:szCs w:val="24"/>
        </w:rPr>
        <w:t>ad</w:t>
      </w:r>
      <w:r>
        <w:rPr>
          <w:rFonts w:asciiTheme="majorBidi" w:hAnsiTheme="majorBidi" w:cstheme="majorBidi"/>
          <w:sz w:val="24"/>
          <w:szCs w:val="24"/>
        </w:rPr>
        <w:t>ah Waro</w:t>
      </w:r>
      <w:r w:rsidRPr="00734CA3">
        <w:rPr>
          <w:rFonts w:asciiTheme="majorBidi" w:hAnsiTheme="majorBidi" w:cstheme="majorBidi"/>
          <w:sz w:val="24"/>
          <w:szCs w:val="24"/>
        </w:rPr>
        <w:t>hmah.</w:t>
      </w:r>
    </w:p>
    <w:p w:rsidR="00AD770B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Alba, Cecep.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Tasawuf dan Tarekat Dimensi Esotoris Ajaran Islam. </w:t>
      </w:r>
      <w:r>
        <w:rPr>
          <w:rFonts w:asciiTheme="majorBidi" w:hAnsiTheme="majorBidi" w:cstheme="majorBidi"/>
          <w:sz w:val="24"/>
          <w:szCs w:val="24"/>
        </w:rPr>
        <w:t>Bandung</w:t>
      </w:r>
      <w:r w:rsidRPr="00734CA3">
        <w:rPr>
          <w:rFonts w:asciiTheme="majorBidi" w:hAnsiTheme="majorBidi" w:cstheme="majorBidi"/>
          <w:sz w:val="24"/>
          <w:szCs w:val="24"/>
        </w:rPr>
        <w:t>: PT Remaja Rosdakarya. 2012.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Al-Hasanal-Husaini, Muhammad Fadhil al-Jailany. dkk.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TQN Suryalaya Membangun Peradaban Dunia. </w:t>
      </w:r>
      <w:r>
        <w:rPr>
          <w:rFonts w:asciiTheme="majorBidi" w:hAnsiTheme="majorBidi" w:cstheme="majorBidi"/>
          <w:sz w:val="24"/>
          <w:szCs w:val="24"/>
        </w:rPr>
        <w:t>Tasikmalaya</w:t>
      </w:r>
      <w:r w:rsidRPr="00734CA3">
        <w:rPr>
          <w:rFonts w:asciiTheme="majorBidi" w:hAnsiTheme="majorBidi" w:cstheme="majorBidi"/>
          <w:sz w:val="24"/>
          <w:szCs w:val="24"/>
        </w:rPr>
        <w:t>: Mudawwamah Warohmah Press. 2011.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Al-Rasyidin. Nizar, Samsul.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Pendekatan Historis, Teoritis dan Praktis Filsafat Pendidikan Islam. </w:t>
      </w:r>
      <w:r w:rsidRPr="00734CA3">
        <w:rPr>
          <w:rFonts w:asciiTheme="majorBidi" w:hAnsiTheme="majorBidi" w:cstheme="majorBidi"/>
          <w:sz w:val="24"/>
          <w:szCs w:val="24"/>
        </w:rPr>
        <w:t>Jakarta: Ciputat Press.</w:t>
      </w:r>
      <w:r w:rsidRPr="00734CA3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34CA3">
        <w:rPr>
          <w:rFonts w:asciiTheme="majorBidi" w:hAnsiTheme="majorBidi" w:cstheme="majorBidi"/>
          <w:sz w:val="24"/>
          <w:szCs w:val="24"/>
        </w:rPr>
        <w:t>2005.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>Aqib, Kharisudin. A</w:t>
      </w:r>
      <w:r w:rsidRPr="00734CA3">
        <w:rPr>
          <w:rFonts w:asciiTheme="majorBidi" w:hAnsiTheme="majorBidi" w:cstheme="majorBidi"/>
          <w:i/>
          <w:sz w:val="24"/>
          <w:szCs w:val="24"/>
        </w:rPr>
        <w:t>l-Hikmah Memah</w:t>
      </w:r>
      <w:r>
        <w:rPr>
          <w:rFonts w:asciiTheme="majorBidi" w:hAnsiTheme="majorBidi" w:cstheme="majorBidi"/>
          <w:i/>
          <w:sz w:val="24"/>
          <w:szCs w:val="24"/>
        </w:rPr>
        <w:t>ami Teosofi Tarekat Qadiriyyah w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a Naqsabandiyyah. </w:t>
      </w:r>
      <w:r w:rsidRPr="00734CA3">
        <w:rPr>
          <w:rFonts w:asciiTheme="majorBidi" w:hAnsiTheme="majorBidi" w:cstheme="majorBidi"/>
          <w:sz w:val="24"/>
          <w:szCs w:val="24"/>
        </w:rPr>
        <w:t>Surabaya: Dunia Ilmu.</w:t>
      </w:r>
      <w:r w:rsidRPr="00734CA3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734CA3">
        <w:rPr>
          <w:rFonts w:asciiTheme="majorBidi" w:hAnsiTheme="majorBidi" w:cstheme="majorBidi"/>
          <w:sz w:val="24"/>
          <w:szCs w:val="24"/>
        </w:rPr>
        <w:t>1998.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Arifin, Muzayyin.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Filsafat Pendidikan Islam.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734CA3">
        <w:rPr>
          <w:rFonts w:asciiTheme="majorBidi" w:hAnsiTheme="majorBidi" w:cstheme="majorBidi"/>
          <w:sz w:val="24"/>
          <w:szCs w:val="24"/>
        </w:rPr>
        <w:t xml:space="preserve">: Bumi Aksara. 2010. </w:t>
      </w:r>
    </w:p>
    <w:p w:rsidR="00AD770B" w:rsidRPr="00734CA3" w:rsidRDefault="00AD770B" w:rsidP="00AD770B">
      <w:pPr>
        <w:tabs>
          <w:tab w:val="left" w:pos="1655"/>
          <w:tab w:val="left" w:pos="2822"/>
          <w:tab w:val="left" w:pos="4432"/>
          <w:tab w:val="left" w:pos="5505"/>
          <w:tab w:val="left" w:pos="6640"/>
          <w:tab w:val="left" w:pos="7712"/>
        </w:tabs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Arifin, Shohibulwafa</w:t>
      </w:r>
      <w:r w:rsidRPr="002549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Tajul. </w:t>
      </w:r>
      <w:r w:rsidRPr="00734CA3">
        <w:rPr>
          <w:rFonts w:asciiTheme="majorBidi" w:hAnsiTheme="majorBidi" w:cstheme="majorBidi"/>
          <w:i/>
          <w:sz w:val="24"/>
          <w:szCs w:val="24"/>
        </w:rPr>
        <w:t>Akhlakul</w:t>
      </w:r>
      <w:r w:rsidRPr="00734CA3">
        <w:rPr>
          <w:rFonts w:asciiTheme="majorBidi" w:hAnsiTheme="majorBidi" w:cstheme="majorBidi"/>
          <w:i/>
          <w:sz w:val="24"/>
          <w:szCs w:val="24"/>
        </w:rPr>
        <w:tab/>
        <w:t>Karimah,</w:t>
      </w:r>
      <w:r w:rsidRPr="00734CA3">
        <w:rPr>
          <w:rFonts w:asciiTheme="majorBidi" w:hAnsiTheme="majorBidi" w:cstheme="majorBidi"/>
          <w:i/>
          <w:sz w:val="24"/>
          <w:szCs w:val="24"/>
        </w:rPr>
        <w:tab/>
        <w:t>Akhla</w:t>
      </w:r>
      <w:r>
        <w:rPr>
          <w:rFonts w:asciiTheme="majorBidi" w:hAnsiTheme="majorBidi" w:cstheme="majorBidi"/>
          <w:i/>
          <w:sz w:val="24"/>
          <w:szCs w:val="24"/>
        </w:rPr>
        <w:t xml:space="preserve">kul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Mahmudah. </w:t>
      </w:r>
      <w:r w:rsidRPr="00734CA3">
        <w:rPr>
          <w:rFonts w:asciiTheme="majorBidi" w:hAnsiTheme="majorBidi" w:cstheme="majorBidi"/>
          <w:sz w:val="24"/>
          <w:szCs w:val="24"/>
        </w:rPr>
        <w:t>Tasikmalaya: Yayas</w:t>
      </w:r>
      <w:r>
        <w:rPr>
          <w:rFonts w:asciiTheme="majorBidi" w:hAnsiTheme="majorBidi" w:cstheme="majorBidi"/>
          <w:sz w:val="24"/>
          <w:szCs w:val="24"/>
        </w:rPr>
        <w:t>an Serba Bakti Pondok Pesantren</w:t>
      </w:r>
      <w:r w:rsidRPr="00734CA3">
        <w:rPr>
          <w:rFonts w:asciiTheme="majorBidi" w:hAnsiTheme="majorBidi" w:cstheme="majorBidi"/>
          <w:sz w:val="24"/>
          <w:szCs w:val="24"/>
        </w:rPr>
        <w:t xml:space="preserve"> Suryalaya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>Arifin, Shohibulwafa</w:t>
      </w:r>
      <w:r w:rsidRPr="002549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Tajul</w:t>
      </w:r>
      <w:r w:rsidRPr="00734CA3">
        <w:rPr>
          <w:rFonts w:asciiTheme="majorBidi" w:hAnsiTheme="majorBidi" w:cstheme="majorBidi"/>
          <w:sz w:val="24"/>
          <w:szCs w:val="24"/>
        </w:rPr>
        <w:t xml:space="preserve">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Kitab Uquudul Jumaaan. </w:t>
      </w:r>
      <w:r w:rsidRPr="00734CA3">
        <w:rPr>
          <w:rFonts w:asciiTheme="majorBidi" w:hAnsiTheme="majorBidi" w:cstheme="majorBidi"/>
          <w:sz w:val="24"/>
          <w:szCs w:val="24"/>
        </w:rPr>
        <w:t>Tasikmalaya: PT Mudawwamah Warohmah.</w:t>
      </w:r>
      <w:r w:rsidRPr="00734CA3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734CA3">
        <w:rPr>
          <w:rFonts w:asciiTheme="majorBidi" w:hAnsiTheme="majorBidi" w:cstheme="majorBidi"/>
          <w:sz w:val="24"/>
          <w:szCs w:val="24"/>
        </w:rPr>
        <w:t>2009.</w:t>
      </w:r>
    </w:p>
    <w:p w:rsidR="00AD770B" w:rsidRDefault="00AD770B" w:rsidP="00AD770B">
      <w:pPr>
        <w:pStyle w:val="ListParagraph"/>
        <w:tabs>
          <w:tab w:val="left" w:pos="1565"/>
        </w:tabs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>Arifin, Shohibulwafa</w:t>
      </w:r>
      <w:r w:rsidRPr="002549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Tajul</w:t>
      </w:r>
      <w:r w:rsidRPr="00734CA3">
        <w:rPr>
          <w:rFonts w:asciiTheme="majorBidi" w:hAnsiTheme="majorBidi" w:cstheme="majorBidi"/>
          <w:sz w:val="24"/>
          <w:szCs w:val="24"/>
        </w:rPr>
        <w:t xml:space="preserve">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Miftahus Shidur. </w:t>
      </w:r>
      <w:r w:rsidRPr="00734CA3">
        <w:rPr>
          <w:rFonts w:asciiTheme="majorBidi" w:hAnsiTheme="majorBidi" w:cstheme="majorBidi"/>
          <w:sz w:val="24"/>
          <w:szCs w:val="24"/>
        </w:rPr>
        <w:t>Tasikmalaya: PT Mudawwamah Warohmah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Bruinessen, Martin Van.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Tarekat Masyarakat Indonesia. </w:t>
      </w:r>
      <w:r>
        <w:rPr>
          <w:rFonts w:asciiTheme="majorBidi" w:hAnsiTheme="majorBidi" w:cstheme="majorBidi"/>
          <w:sz w:val="24"/>
          <w:szCs w:val="24"/>
        </w:rPr>
        <w:t>Bandung</w:t>
      </w:r>
      <w:r w:rsidRPr="00734CA3">
        <w:rPr>
          <w:rFonts w:asciiTheme="majorBidi" w:hAnsiTheme="majorBidi" w:cstheme="majorBidi"/>
          <w:sz w:val="24"/>
          <w:szCs w:val="24"/>
        </w:rPr>
        <w:t>: Mizan. 1998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. 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Jumantoro, Totok.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Kamus Ilmu Tasawuf. </w:t>
      </w:r>
      <w:r>
        <w:rPr>
          <w:rFonts w:asciiTheme="majorBidi" w:hAnsiTheme="majorBidi" w:cstheme="majorBidi"/>
          <w:sz w:val="24"/>
          <w:szCs w:val="24"/>
        </w:rPr>
        <w:t>Wonosobo</w:t>
      </w:r>
      <w:r w:rsidRPr="00734CA3">
        <w:rPr>
          <w:rFonts w:asciiTheme="majorBidi" w:hAnsiTheme="majorBidi" w:cstheme="majorBidi"/>
          <w:sz w:val="24"/>
          <w:szCs w:val="24"/>
        </w:rPr>
        <w:t>: Amzah. 2012.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i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Kahmad, Dadang. </w:t>
      </w:r>
      <w:r w:rsidRPr="00734CA3">
        <w:rPr>
          <w:rFonts w:asciiTheme="majorBidi" w:hAnsiTheme="majorBidi" w:cstheme="majorBidi"/>
          <w:i/>
          <w:sz w:val="24"/>
          <w:szCs w:val="24"/>
        </w:rPr>
        <w:t>Tarekat dalam Islam, Spir</w:t>
      </w:r>
      <w:r>
        <w:rPr>
          <w:rFonts w:asciiTheme="majorBidi" w:hAnsiTheme="majorBidi" w:cstheme="majorBidi"/>
          <w:i/>
          <w:sz w:val="24"/>
          <w:szCs w:val="24"/>
        </w:rPr>
        <w:t xml:space="preserve">itualitas Masyarakat     Modern. </w:t>
      </w:r>
      <w:r w:rsidRPr="00734CA3">
        <w:rPr>
          <w:rFonts w:asciiTheme="majorBidi" w:hAnsiTheme="majorBidi" w:cstheme="majorBidi"/>
          <w:sz w:val="24"/>
          <w:szCs w:val="24"/>
        </w:rPr>
        <w:t>Bandung: Pustaka Setia. 2002.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i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Kunandar.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Langkah Mudah Penelitian Tindakan Kelas Sebagai Pengembangan Profesi Guru.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734CA3">
        <w:rPr>
          <w:rFonts w:asciiTheme="majorBidi" w:hAnsiTheme="majorBidi" w:cstheme="majorBidi"/>
          <w:sz w:val="24"/>
          <w:szCs w:val="24"/>
        </w:rPr>
        <w:t>: PT. Raja Grafindo Persada. 2008</w:t>
      </w:r>
      <w:r w:rsidRPr="00734CA3">
        <w:rPr>
          <w:rFonts w:asciiTheme="majorBidi" w:hAnsiTheme="majorBidi" w:cstheme="majorBidi"/>
          <w:i/>
          <w:sz w:val="24"/>
          <w:szCs w:val="24"/>
        </w:rPr>
        <w:t>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M. Solihin.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Melacak Pemikiran Tasawuf di Nusantara. </w:t>
      </w:r>
      <w:r w:rsidRPr="00734CA3">
        <w:rPr>
          <w:rFonts w:asciiTheme="majorBidi" w:hAnsiTheme="majorBidi" w:cstheme="majorBidi"/>
          <w:sz w:val="24"/>
          <w:szCs w:val="24"/>
        </w:rPr>
        <w:t>Jakarta: Raja Grafindo Persada. 2005.</w:t>
      </w:r>
    </w:p>
    <w:p w:rsidR="00AD770B" w:rsidRPr="00734CA3" w:rsidRDefault="00AD770B" w:rsidP="00AD770B">
      <w:pPr>
        <w:pStyle w:val="BodyText"/>
        <w:spacing w:line="360" w:lineRule="auto"/>
        <w:ind w:left="1701" w:right="141" w:hanging="1134"/>
        <w:jc w:val="both"/>
        <w:rPr>
          <w:rFonts w:asciiTheme="majorBidi" w:hAnsiTheme="majorBidi" w:cstheme="majorBidi"/>
        </w:rPr>
      </w:pPr>
      <w:r w:rsidRPr="00734CA3">
        <w:rPr>
          <w:rFonts w:asciiTheme="majorBidi" w:hAnsiTheme="majorBidi" w:cstheme="majorBidi"/>
        </w:rPr>
        <w:t>Majalah Sinthoris Sinar Tarekat Islam. Edisi 23 Januari 2004/ 1 Dzulhijjah 1424 H. Majalah Yayas</w:t>
      </w:r>
      <w:r>
        <w:rPr>
          <w:rFonts w:asciiTheme="majorBidi" w:hAnsiTheme="majorBidi" w:cstheme="majorBidi"/>
        </w:rPr>
        <w:t>an Serba Bakti Pondok Pesantren.</w:t>
      </w:r>
    </w:p>
    <w:p w:rsidR="00AD770B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Mufid, Ahmad Syafi‟i.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Tangklukan, Abangan, Dan Tarekat: Kebangkitan Agama di Jawa.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734CA3">
        <w:rPr>
          <w:rFonts w:asciiTheme="majorBidi" w:hAnsiTheme="majorBidi" w:cstheme="majorBidi"/>
          <w:sz w:val="24"/>
          <w:szCs w:val="24"/>
        </w:rPr>
        <w:t>: Yayasan obor Indonesia A</w:t>
      </w:r>
      <w:r>
        <w:rPr>
          <w:rFonts w:asciiTheme="majorBidi" w:hAnsiTheme="majorBidi" w:cstheme="majorBidi"/>
          <w:sz w:val="24"/>
          <w:szCs w:val="24"/>
        </w:rPr>
        <w:t>nggota IKAPI DKI Jakarta. 2006.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Mulyati, Sri.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Peran Edukasi Tarekat Qodiriyah Naqsabandiyah Dengan Referensi Utama Suryalaya.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734CA3">
        <w:rPr>
          <w:rFonts w:asciiTheme="majorBidi" w:hAnsiTheme="majorBidi" w:cstheme="majorBidi"/>
          <w:sz w:val="24"/>
          <w:szCs w:val="24"/>
        </w:rPr>
        <w:t>: Kencana Prenada Media Group. 2010.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Nawawi, Imam. </w:t>
      </w:r>
      <w:r w:rsidRPr="001D39CF">
        <w:rPr>
          <w:rFonts w:asciiTheme="majorBidi" w:hAnsiTheme="majorBidi" w:cstheme="majorBidi"/>
          <w:i/>
          <w:iCs/>
          <w:sz w:val="24"/>
          <w:szCs w:val="24"/>
        </w:rPr>
        <w:t>Al Adzkar An Nawawi Intisari Ibadah dan Amal (terj)</w:t>
      </w:r>
      <w:r>
        <w:rPr>
          <w:rFonts w:asciiTheme="majorBidi" w:hAnsiTheme="majorBidi" w:cstheme="majorBidi"/>
          <w:sz w:val="24"/>
          <w:szCs w:val="24"/>
        </w:rPr>
        <w:t>. Surabaya: Mutiara Ilmu. 2008.</w:t>
      </w:r>
    </w:p>
    <w:p w:rsidR="00AD770B" w:rsidRPr="00734CA3" w:rsidRDefault="00AD770B" w:rsidP="00AD770B">
      <w:pPr>
        <w:pStyle w:val="BodyText"/>
        <w:spacing w:line="360" w:lineRule="auto"/>
        <w:ind w:left="1701" w:right="141" w:hanging="1134"/>
        <w:jc w:val="both"/>
        <w:rPr>
          <w:rFonts w:asciiTheme="majorBidi" w:hAnsiTheme="majorBidi" w:cstheme="majorBidi"/>
          <w:lang w:val="id-ID"/>
        </w:rPr>
      </w:pPr>
      <w:r w:rsidRPr="00734CA3">
        <w:rPr>
          <w:rFonts w:asciiTheme="majorBidi" w:hAnsiTheme="majorBidi" w:cstheme="majorBidi"/>
        </w:rPr>
        <w:t xml:space="preserve">Rachmat, Mamat. </w:t>
      </w:r>
      <w:r w:rsidRPr="00734CA3">
        <w:rPr>
          <w:rFonts w:asciiTheme="majorBidi" w:hAnsiTheme="majorBidi" w:cstheme="majorBidi"/>
          <w:i/>
        </w:rPr>
        <w:t>Tanbih Dari Masa ke Masa,</w:t>
      </w:r>
      <w:r>
        <w:rPr>
          <w:rFonts w:asciiTheme="majorBidi" w:hAnsiTheme="majorBidi" w:cstheme="majorBidi"/>
          <w:i/>
        </w:rPr>
        <w:t xml:space="preserve"> </w:t>
      </w:r>
      <w:r w:rsidRPr="00734CA3">
        <w:rPr>
          <w:rFonts w:asciiTheme="majorBidi" w:hAnsiTheme="majorBidi" w:cstheme="majorBidi"/>
        </w:rPr>
        <w:t>Wasiat Pendiri Pondok Pesantren Suryalaya Tentang Tuntunan Sikap Hidup Yang Harus Dilaksanakan Oleh Seluruh Komponen Keluarga Besar Pondok Pesantren Suryalaya Secara Nyata Dalam Kehidupan Sehari-Hari.</w:t>
      </w:r>
    </w:p>
    <w:p w:rsidR="00AD770B" w:rsidRPr="0025491B" w:rsidRDefault="00AD770B" w:rsidP="00AD770B">
      <w:pPr>
        <w:pStyle w:val="BodyText"/>
        <w:spacing w:line="360" w:lineRule="auto"/>
        <w:ind w:left="1701" w:right="141" w:hanging="1134"/>
        <w:jc w:val="both"/>
        <w:rPr>
          <w:rFonts w:asciiTheme="majorBidi" w:hAnsiTheme="majorBidi" w:cstheme="majorBidi"/>
        </w:rPr>
      </w:pPr>
      <w:r w:rsidRPr="00734CA3">
        <w:rPr>
          <w:rFonts w:asciiTheme="majorBidi" w:hAnsiTheme="majorBidi" w:cstheme="majorBidi"/>
          <w:lang w:val="id-ID"/>
        </w:rPr>
        <w:t xml:space="preserve">Rakhmat, Jalaludin, </w:t>
      </w:r>
      <w:r w:rsidRPr="00734CA3">
        <w:rPr>
          <w:rFonts w:asciiTheme="majorBidi" w:hAnsiTheme="majorBidi" w:cstheme="majorBidi"/>
          <w:i/>
          <w:iCs/>
          <w:lang w:val="id-ID"/>
        </w:rPr>
        <w:t xml:space="preserve">Psikologi Komunikasi. </w:t>
      </w:r>
      <w:r w:rsidRPr="00734CA3">
        <w:rPr>
          <w:rFonts w:asciiTheme="majorBidi" w:hAnsiTheme="majorBidi" w:cstheme="majorBidi"/>
          <w:lang w:val="id-ID"/>
        </w:rPr>
        <w:t>Bandung 2008</w:t>
      </w:r>
      <w:r>
        <w:rPr>
          <w:rFonts w:asciiTheme="majorBidi" w:hAnsiTheme="majorBidi" w:cstheme="majorBidi"/>
        </w:rPr>
        <w:t>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Said, Fuad.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Hakikat Tarikat Naqsabandiyah.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734CA3">
        <w:rPr>
          <w:rFonts w:asciiTheme="majorBidi" w:hAnsiTheme="majorBidi" w:cstheme="majorBidi"/>
          <w:sz w:val="24"/>
          <w:szCs w:val="24"/>
        </w:rPr>
        <w:t>: Pustaka Al-Husna</w:t>
      </w:r>
      <w:r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734CA3">
        <w:rPr>
          <w:rFonts w:asciiTheme="majorBidi" w:hAnsiTheme="majorBidi" w:cstheme="majorBidi"/>
          <w:sz w:val="24"/>
          <w:szCs w:val="24"/>
        </w:rPr>
        <w:t>Baru.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34CA3">
        <w:rPr>
          <w:rFonts w:asciiTheme="majorBidi" w:hAnsiTheme="majorBidi" w:cstheme="majorBidi"/>
          <w:sz w:val="24"/>
          <w:szCs w:val="24"/>
        </w:rPr>
        <w:t>2012.</w:t>
      </w:r>
    </w:p>
    <w:p w:rsidR="00AD770B" w:rsidRPr="0025491B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Suciati</w:t>
      </w:r>
      <w:r>
        <w:rPr>
          <w:rFonts w:asciiTheme="majorBidi" w:hAnsiTheme="majorBidi" w:cstheme="majorBidi"/>
          <w:sz w:val="24"/>
          <w:szCs w:val="24"/>
        </w:rPr>
        <w:t>.</w:t>
      </w:r>
      <w:r w:rsidRPr="00734CA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Kewib</w:t>
      </w:r>
      <w:r w:rsidRPr="00734CA3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i/>
          <w:iCs/>
          <w:sz w:val="24"/>
          <w:szCs w:val="24"/>
        </w:rPr>
        <w:t>wa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an Komunikator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734CA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Jakarta: PT. Bulan Bintang</w:t>
      </w:r>
      <w:r>
        <w:rPr>
          <w:rFonts w:asciiTheme="majorBidi" w:hAnsiTheme="majorBidi" w:cstheme="majorBidi"/>
          <w:sz w:val="24"/>
          <w:szCs w:val="24"/>
        </w:rPr>
        <w:t>.</w:t>
      </w:r>
      <w:r w:rsidRPr="00734CA3">
        <w:rPr>
          <w:rFonts w:asciiTheme="majorBidi" w:hAnsiTheme="majorBidi" w:cstheme="majorBidi"/>
          <w:sz w:val="24"/>
          <w:szCs w:val="24"/>
          <w:lang w:val="id-ID"/>
        </w:rPr>
        <w:t xml:space="preserve"> 2016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Sugiyono.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Metode Penelitian Pendidikan, Pendekatan Kuantitatif, Kualitatif dan R &amp; D. </w:t>
      </w:r>
      <w:r>
        <w:rPr>
          <w:rFonts w:asciiTheme="majorBidi" w:hAnsiTheme="majorBidi" w:cstheme="majorBidi"/>
          <w:sz w:val="24"/>
          <w:szCs w:val="24"/>
        </w:rPr>
        <w:t>Bandung</w:t>
      </w:r>
      <w:r w:rsidRPr="00734CA3">
        <w:rPr>
          <w:rFonts w:asciiTheme="majorBidi" w:hAnsiTheme="majorBidi" w:cstheme="majorBidi"/>
          <w:sz w:val="24"/>
          <w:szCs w:val="24"/>
        </w:rPr>
        <w:t>: Alfabeta.</w:t>
      </w:r>
      <w:r w:rsidRPr="00734CA3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734CA3">
        <w:rPr>
          <w:rFonts w:asciiTheme="majorBidi" w:hAnsiTheme="majorBidi" w:cstheme="majorBidi"/>
          <w:sz w:val="24"/>
          <w:szCs w:val="24"/>
        </w:rPr>
        <w:t>2013.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Sukmadinata, Nana Syaodih. </w:t>
      </w:r>
      <w:r w:rsidRPr="00734CA3">
        <w:rPr>
          <w:rFonts w:asciiTheme="majorBidi" w:hAnsiTheme="majorBidi" w:cstheme="majorBidi"/>
          <w:i/>
          <w:sz w:val="24"/>
          <w:szCs w:val="24"/>
        </w:rPr>
        <w:t>Metode Penelitian Pendidikan</w:t>
      </w:r>
      <w:r w:rsidRPr="00734CA3">
        <w:rPr>
          <w:rFonts w:asciiTheme="majorBidi" w:hAnsiTheme="majorBidi" w:cstheme="majorBidi"/>
          <w:sz w:val="24"/>
          <w:szCs w:val="24"/>
        </w:rPr>
        <w:t>. Bandung: Remaja Rosdakarya. 2007.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Sunardjo, Unang.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Sejarah Pondok Pesantren Suryalaya. </w:t>
      </w:r>
      <w:r>
        <w:rPr>
          <w:rFonts w:asciiTheme="majorBidi" w:hAnsiTheme="majorBidi" w:cstheme="majorBidi"/>
          <w:sz w:val="24"/>
          <w:szCs w:val="24"/>
        </w:rPr>
        <w:t>Tasikmalaya</w:t>
      </w:r>
      <w:r w:rsidRPr="00734CA3">
        <w:rPr>
          <w:rFonts w:asciiTheme="majorBidi" w:hAnsiTheme="majorBidi" w:cstheme="majorBidi"/>
          <w:sz w:val="24"/>
          <w:szCs w:val="24"/>
        </w:rPr>
        <w:t>: Yayasan Serba Bakti Pondok Pesantren Suryalaya.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Sururin.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Perempuan dalam duni Tarekat, Studi tentang Pengalaman Beragama Perempuann Anggota Tarekat Qodiriyah Naqsabandiyah.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734CA3">
        <w:rPr>
          <w:rFonts w:asciiTheme="majorBidi" w:hAnsiTheme="majorBidi" w:cstheme="majorBidi"/>
          <w:sz w:val="24"/>
          <w:szCs w:val="24"/>
        </w:rPr>
        <w:t>: Kemenag RI. 2012.</w:t>
      </w:r>
    </w:p>
    <w:p w:rsidR="00AD770B" w:rsidRPr="00734CA3" w:rsidRDefault="00AD770B" w:rsidP="00AD770B">
      <w:pPr>
        <w:pStyle w:val="BodyText"/>
        <w:spacing w:line="360" w:lineRule="auto"/>
        <w:ind w:left="1701" w:right="141" w:hanging="1134"/>
        <w:jc w:val="both"/>
        <w:rPr>
          <w:rFonts w:asciiTheme="majorBidi" w:hAnsiTheme="majorBidi" w:cstheme="majorBidi"/>
        </w:rPr>
      </w:pPr>
      <w:r w:rsidRPr="00734CA3">
        <w:rPr>
          <w:rFonts w:asciiTheme="majorBidi" w:hAnsiTheme="majorBidi" w:cstheme="majorBidi"/>
        </w:rPr>
        <w:t>Suryalaya “GEMMA” Edisi 10,</w:t>
      </w:r>
      <w:r>
        <w:rPr>
          <w:rFonts w:asciiTheme="majorBidi" w:hAnsiTheme="majorBidi" w:cstheme="majorBidi"/>
        </w:rPr>
        <w:t xml:space="preserve"> Rajab-Sya’ban 1435 H.</w:t>
      </w:r>
    </w:p>
    <w:p w:rsidR="00AD770B" w:rsidRPr="00734CA3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i/>
          <w:sz w:val="24"/>
          <w:szCs w:val="24"/>
        </w:rPr>
        <w:t>Tabloid Robithoh (Media Islam Menuju Kaffah</w:t>
      </w:r>
      <w:r>
        <w:rPr>
          <w:rFonts w:asciiTheme="majorBidi" w:hAnsiTheme="majorBidi" w:cstheme="majorBidi"/>
          <w:i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edisi 1-30 </w:t>
      </w:r>
      <w:r w:rsidRPr="00734CA3">
        <w:rPr>
          <w:rFonts w:asciiTheme="majorBidi" w:hAnsiTheme="majorBidi" w:cstheme="majorBidi"/>
          <w:sz w:val="24"/>
          <w:szCs w:val="24"/>
        </w:rPr>
        <w:t xml:space="preserve">Shafar 1429 </w:t>
      </w:r>
      <w:r>
        <w:rPr>
          <w:rFonts w:asciiTheme="majorBidi" w:hAnsiTheme="majorBidi" w:cstheme="majorBidi"/>
          <w:sz w:val="24"/>
          <w:szCs w:val="24"/>
        </w:rPr>
        <w:t xml:space="preserve">H. / 8 Februari-8 maret 2008 M. </w:t>
      </w:r>
      <w:r w:rsidRPr="00734CA3">
        <w:rPr>
          <w:rFonts w:asciiTheme="majorBidi" w:hAnsiTheme="majorBidi" w:cstheme="majorBidi"/>
          <w:sz w:val="24"/>
          <w:szCs w:val="24"/>
        </w:rPr>
        <w:t>Penerbit Yayasan Ikhlas Bandung. 2008</w:t>
      </w:r>
    </w:p>
    <w:p w:rsidR="00AD770B" w:rsidRDefault="00AD770B" w:rsidP="00AD770B">
      <w:pPr>
        <w:pStyle w:val="BodyText"/>
        <w:spacing w:line="360" w:lineRule="auto"/>
        <w:ind w:left="1701" w:right="141" w:hanging="1134"/>
        <w:jc w:val="both"/>
        <w:rPr>
          <w:rFonts w:asciiTheme="majorBidi" w:hAnsiTheme="majorBidi" w:cstheme="majorBidi"/>
        </w:rPr>
      </w:pPr>
      <w:r w:rsidRPr="00734CA3">
        <w:rPr>
          <w:rFonts w:asciiTheme="majorBidi" w:hAnsiTheme="majorBidi" w:cstheme="majorBidi"/>
        </w:rPr>
        <w:t xml:space="preserve">Tajul, Arifin, Shohibulwafa. </w:t>
      </w:r>
      <w:r w:rsidRPr="00734CA3">
        <w:rPr>
          <w:rFonts w:asciiTheme="majorBidi" w:hAnsiTheme="majorBidi" w:cstheme="majorBidi"/>
          <w:i/>
        </w:rPr>
        <w:t xml:space="preserve">Ibadah. </w:t>
      </w:r>
      <w:r w:rsidRPr="00734CA3">
        <w:rPr>
          <w:rFonts w:asciiTheme="majorBidi" w:hAnsiTheme="majorBidi" w:cstheme="majorBidi"/>
        </w:rPr>
        <w:t>Tasikmalaya: PT Mudawwamah Warohmah. 2005.</w:t>
      </w:r>
    </w:p>
    <w:p w:rsidR="00AD770B" w:rsidRDefault="00AD770B" w:rsidP="00AD770B">
      <w:pPr>
        <w:spacing w:after="0" w:line="360" w:lineRule="auto"/>
        <w:ind w:left="1701" w:right="141" w:hanging="1134"/>
        <w:jc w:val="both"/>
        <w:rPr>
          <w:rFonts w:asciiTheme="majorBidi" w:hAnsiTheme="majorBidi" w:cstheme="majorBidi"/>
          <w:sz w:val="24"/>
          <w:szCs w:val="24"/>
        </w:rPr>
      </w:pPr>
      <w:r w:rsidRPr="00734CA3">
        <w:rPr>
          <w:rFonts w:asciiTheme="majorBidi" w:hAnsiTheme="majorBidi" w:cstheme="majorBidi"/>
          <w:sz w:val="24"/>
          <w:szCs w:val="24"/>
        </w:rPr>
        <w:t xml:space="preserve">Thohir, Ajid. </w:t>
      </w:r>
      <w:r w:rsidRPr="00734CA3">
        <w:rPr>
          <w:rFonts w:asciiTheme="majorBidi" w:hAnsiTheme="majorBidi" w:cstheme="majorBidi"/>
          <w:i/>
          <w:sz w:val="24"/>
          <w:szCs w:val="24"/>
        </w:rPr>
        <w:t xml:space="preserve">Gerakan Politik Kaum Tarekat: Telaah Historis Gerakan Politik Antikolonialisme Tarekat Qodiriyah-Naqsyabandiyah di Pulau Jawa. </w:t>
      </w:r>
      <w:r w:rsidRPr="00734CA3">
        <w:rPr>
          <w:rFonts w:asciiTheme="majorBidi" w:hAnsiTheme="majorBidi" w:cstheme="majorBidi"/>
          <w:sz w:val="24"/>
          <w:szCs w:val="24"/>
        </w:rPr>
        <w:t>Bandung:</w:t>
      </w:r>
      <w:r>
        <w:rPr>
          <w:rFonts w:asciiTheme="majorBidi" w:hAnsiTheme="majorBidi" w:cstheme="majorBidi"/>
          <w:sz w:val="24"/>
          <w:szCs w:val="24"/>
        </w:rPr>
        <w:t xml:space="preserve"> Penerbit Pustaka Hidayah. 2002. </w:t>
      </w:r>
    </w:p>
    <w:p w:rsidR="00032472" w:rsidRDefault="00032472"/>
    <w:sectPr w:rsidR="00032472" w:rsidSect="00AD770B">
      <w:headerReference w:type="default" r:id="rId4"/>
      <w:footerReference w:type="default" r:id="rId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82" w:rsidRDefault="00AD770B" w:rsidP="00036D42">
    <w:pPr>
      <w:pStyle w:val="Footer"/>
      <w:jc w:val="center"/>
    </w:pPr>
  </w:p>
  <w:p w:rsidR="009D6882" w:rsidRPr="00A5743E" w:rsidRDefault="00AD770B" w:rsidP="00A5743E">
    <w:pPr>
      <w:tabs>
        <w:tab w:val="left" w:pos="4513"/>
      </w:tabs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82" w:rsidRPr="00AC19F9" w:rsidRDefault="00AD770B" w:rsidP="00AC19F9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0B"/>
    <w:rsid w:val="00032472"/>
    <w:rsid w:val="00A31B38"/>
    <w:rsid w:val="00AD770B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36EF-19FE-433D-BBB7-F8956E5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AD770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basedOn w:val="DefaultParagraphFont"/>
    <w:link w:val="ListParagraph"/>
    <w:uiPriority w:val="34"/>
    <w:qFormat/>
    <w:locked/>
    <w:rsid w:val="00AD770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7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7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0B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D77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77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2022-05-11T06:36:00Z</dcterms:created>
  <dcterms:modified xsi:type="dcterms:W3CDTF">2022-05-11T06:37:00Z</dcterms:modified>
</cp:coreProperties>
</file>